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96707" w:rsidP="00C12ED1">
      <w:pPr>
        <w:jc w:val="center"/>
        <w:rPr>
          <w:b/>
        </w:rPr>
      </w:pPr>
    </w:p>
    <w:p w:rsidR="00A96707" w:rsidP="00C12ED1">
      <w:pPr>
        <w:jc w:val="center"/>
        <w:rPr>
          <w:b/>
        </w:rPr>
      </w:pPr>
    </w:p>
    <w:p w:rsidR="00A96707" w:rsidP="00C12ED1">
      <w:pPr>
        <w:jc w:val="center"/>
        <w:rPr>
          <w:b/>
        </w:rPr>
      </w:pPr>
    </w:p>
    <w:p w:rsidR="00A96707" w:rsidP="00C12ED1">
      <w:pPr>
        <w:jc w:val="center"/>
        <w:rPr>
          <w:b/>
        </w:rPr>
      </w:pPr>
      <w:bookmarkStart w:id="0" w:name="_GoBack"/>
      <w:bookmarkEnd w:id="0"/>
    </w:p>
    <w:p w:rsidR="00A96707" w:rsidP="00C12ED1">
      <w:pPr>
        <w:jc w:val="center"/>
        <w:rPr>
          <w:b/>
        </w:rPr>
      </w:pPr>
    </w:p>
    <w:p w:rsidR="00A96707" w:rsidP="00C12ED1">
      <w:pPr>
        <w:jc w:val="center"/>
        <w:rPr>
          <w:b/>
        </w:rPr>
      </w:pP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707">
        <w:rPr>
          <w:rFonts w:ascii="Times New Roman" w:hAnsi="Times New Roman" w:cs="Times New Roman"/>
          <w:b/>
          <w:sz w:val="24"/>
          <w:szCs w:val="24"/>
        </w:rPr>
        <w:t>Health plan</w:t>
      </w: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707" w:rsidP="00A96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707" w:rsidP="00A96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707" w:rsidP="00A96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707">
        <w:rPr>
          <w:rFonts w:ascii="Times New Roman" w:hAnsi="Times New Roman" w:cs="Times New Roman"/>
          <w:sz w:val="24"/>
          <w:szCs w:val="24"/>
        </w:rPr>
        <w:t>Author</w:t>
      </w: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70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707">
        <w:rPr>
          <w:rFonts w:ascii="Times New Roman" w:hAnsi="Times New Roman" w:cs="Times New Roman"/>
          <w:sz w:val="24"/>
          <w:szCs w:val="24"/>
        </w:rPr>
        <w:t>Instructor</w:t>
      </w: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707">
        <w:rPr>
          <w:rFonts w:ascii="Times New Roman" w:hAnsi="Times New Roman" w:cs="Times New Roman"/>
          <w:sz w:val="24"/>
          <w:szCs w:val="24"/>
        </w:rPr>
        <w:t>Course code</w:t>
      </w:r>
    </w:p>
    <w:p w:rsidR="00A96707" w:rsidRPr="00A96707" w:rsidP="00A967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707">
        <w:rPr>
          <w:rFonts w:ascii="Times New Roman" w:hAnsi="Times New Roman" w:cs="Times New Roman"/>
          <w:sz w:val="24"/>
          <w:szCs w:val="24"/>
        </w:rPr>
        <w:t>Date of submission</w:t>
      </w:r>
    </w:p>
    <w:p w:rsidR="00A96707" w:rsidP="00C12E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6707" w:rsidP="00C12ED1">
      <w:pPr>
        <w:jc w:val="center"/>
        <w:rPr>
          <w:b/>
        </w:rPr>
      </w:pPr>
    </w:p>
    <w:p w:rsidR="00A96707" w:rsidP="00C12ED1">
      <w:pPr>
        <w:jc w:val="center"/>
        <w:rPr>
          <w:b/>
        </w:rPr>
      </w:pPr>
    </w:p>
    <w:p w:rsidR="00DF7B23" w:rsidRPr="00A96707" w:rsidP="00A967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707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D5195" w:rsidRPr="00A96707" w:rsidP="00FE30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6707">
        <w:rPr>
          <w:rFonts w:ascii="Times New Roman" w:hAnsi="Times New Roman" w:cs="Times New Roman"/>
          <w:sz w:val="24"/>
          <w:szCs w:val="24"/>
        </w:rPr>
        <w:t xml:space="preserve">Healthcare in the US is one of the most sensitive sectors of the economy due to its highly privatized nature; there exist a lot of private insurance companies offering different healthcare </w:t>
      </w:r>
      <w:r w:rsidRPr="00A96707" w:rsidR="00FE3064">
        <w:rPr>
          <w:rFonts w:ascii="Times New Roman" w:hAnsi="Times New Roman" w:cs="Times New Roman"/>
          <w:sz w:val="24"/>
          <w:szCs w:val="24"/>
        </w:rPr>
        <w:t>plans</w:t>
      </w:r>
      <w:r w:rsidR="00FE3064">
        <w:rPr>
          <w:rFonts w:ascii="Times New Roman" w:hAnsi="Times New Roman" w:cs="Times New Roman"/>
          <w:sz w:val="24"/>
          <w:szCs w:val="24"/>
        </w:rPr>
        <w:t xml:space="preserve"> (</w:t>
      </w:r>
      <w:r w:rsidR="00FE3064">
        <w:rPr>
          <w:rFonts w:ascii="Times New Roman" w:hAnsi="Times New Roman" w:cs="Times New Roman"/>
          <w:sz w:val="24"/>
          <w:szCs w:val="24"/>
        </w:rPr>
        <w:t>Bhargava</w:t>
      </w:r>
      <w:r w:rsidR="00FE3064">
        <w:rPr>
          <w:rFonts w:ascii="Times New Roman" w:hAnsi="Times New Roman" w:cs="Times New Roman"/>
          <w:sz w:val="24"/>
          <w:szCs w:val="24"/>
        </w:rPr>
        <w:t xml:space="preserve"> et al., </w:t>
      </w:r>
      <w:r w:rsidRPr="00FE3064" w:rsidR="00FE3064">
        <w:rPr>
          <w:rFonts w:ascii="Times New Roman" w:hAnsi="Times New Roman" w:cs="Times New Roman"/>
          <w:sz w:val="24"/>
          <w:szCs w:val="24"/>
        </w:rPr>
        <w:t>2017</w:t>
      </w:r>
      <w:r w:rsidR="00FE3064">
        <w:rPr>
          <w:rFonts w:ascii="Times New Roman" w:hAnsi="Times New Roman" w:cs="Times New Roman"/>
          <w:sz w:val="24"/>
          <w:szCs w:val="24"/>
        </w:rPr>
        <w:t>)</w:t>
      </w:r>
      <w:r w:rsidRPr="00A96707">
        <w:rPr>
          <w:rFonts w:ascii="Times New Roman" w:hAnsi="Times New Roman" w:cs="Times New Roman"/>
          <w:sz w:val="24"/>
          <w:szCs w:val="24"/>
        </w:rPr>
        <w:t xml:space="preserve">. Therefore, it is apparent that choosing the right healthcare plan would present a significant challenge to people seeking medical cover. The purpose of this paper, therefore, is to look at two healthcare plans; the </w:t>
      </w:r>
      <w:r w:rsidRPr="00A96707" w:rsidR="00131EB1">
        <w:rPr>
          <w:rFonts w:ascii="Times New Roman" w:hAnsi="Times New Roman" w:cs="Times New Roman"/>
          <w:sz w:val="24"/>
          <w:szCs w:val="24"/>
        </w:rPr>
        <w:t>health maintenance organization and preferred provider organization,</w:t>
      </w:r>
      <w:r w:rsidRPr="00A96707">
        <w:rPr>
          <w:rFonts w:ascii="Times New Roman" w:hAnsi="Times New Roman" w:cs="Times New Roman"/>
          <w:sz w:val="24"/>
          <w:szCs w:val="24"/>
        </w:rPr>
        <w:t xml:space="preserve"> while underscoring the areas of service provided under each plan, the effectiveness, cost, and the complaints that come with each plan</w:t>
      </w:r>
      <w:r w:rsidR="00FE3064">
        <w:rPr>
          <w:rFonts w:ascii="Times New Roman" w:hAnsi="Times New Roman" w:cs="Times New Roman"/>
          <w:sz w:val="24"/>
          <w:szCs w:val="24"/>
        </w:rPr>
        <w:t>(</w:t>
      </w:r>
      <w:r w:rsidR="00FE3064">
        <w:rPr>
          <w:rFonts w:ascii="Times New Roman" w:hAnsi="Times New Roman" w:cs="Times New Roman"/>
          <w:sz w:val="24"/>
          <w:szCs w:val="24"/>
        </w:rPr>
        <w:t>Bardey</w:t>
      </w:r>
      <w:r w:rsidRPr="00FE3064" w:rsidR="00FE3064">
        <w:rPr>
          <w:rFonts w:ascii="Times New Roman" w:hAnsi="Times New Roman" w:cs="Times New Roman"/>
          <w:sz w:val="24"/>
          <w:szCs w:val="24"/>
        </w:rPr>
        <w:t xml:space="preserve"> &amp; </w:t>
      </w:r>
      <w:r w:rsidRPr="00FE3064" w:rsidR="00FE3064">
        <w:rPr>
          <w:rFonts w:ascii="Times New Roman" w:hAnsi="Times New Roman" w:cs="Times New Roman"/>
          <w:sz w:val="24"/>
          <w:szCs w:val="24"/>
        </w:rPr>
        <w:t>Roche</w:t>
      </w:r>
      <w:r w:rsidR="00FE3064">
        <w:rPr>
          <w:rFonts w:ascii="Times New Roman" w:hAnsi="Times New Roman" w:cs="Times New Roman"/>
          <w:sz w:val="24"/>
          <w:szCs w:val="24"/>
        </w:rPr>
        <w:t>t</w:t>
      </w:r>
      <w:r w:rsidR="00FE3064">
        <w:rPr>
          <w:rFonts w:ascii="Times New Roman" w:hAnsi="Times New Roman" w:cs="Times New Roman"/>
          <w:sz w:val="24"/>
          <w:szCs w:val="24"/>
        </w:rPr>
        <w:t>, 2009)</w:t>
      </w:r>
      <w:r w:rsidRPr="00A967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1EB1" w:rsidRPr="00A96707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900" w:type="dxa"/>
        <w:tblInd w:w="-162" w:type="dxa"/>
        <w:tblLook w:val="04A0"/>
      </w:tblPr>
      <w:tblGrid>
        <w:gridCol w:w="2019"/>
        <w:gridCol w:w="1853"/>
        <w:gridCol w:w="1866"/>
        <w:gridCol w:w="1831"/>
        <w:gridCol w:w="2331"/>
      </w:tblGrid>
      <w:tr w:rsidTr="00A96707">
        <w:tblPrEx>
          <w:tblW w:w="9900" w:type="dxa"/>
          <w:tblInd w:w="-162" w:type="dxa"/>
          <w:tblLook w:val="04A0"/>
        </w:tblPrEx>
        <w:tc>
          <w:tcPr>
            <w:tcW w:w="2019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b/>
                <w:sz w:val="24"/>
                <w:szCs w:val="24"/>
              </w:rPr>
              <w:t>Health plan</w:t>
            </w:r>
          </w:p>
        </w:tc>
        <w:tc>
          <w:tcPr>
            <w:tcW w:w="1853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b/>
                <w:sz w:val="24"/>
                <w:szCs w:val="24"/>
              </w:rPr>
              <w:t>Services provided</w:t>
            </w:r>
          </w:p>
        </w:tc>
        <w:tc>
          <w:tcPr>
            <w:tcW w:w="1866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b/>
                <w:sz w:val="24"/>
                <w:szCs w:val="24"/>
              </w:rPr>
              <w:t>Effectiveness</w:t>
            </w:r>
          </w:p>
        </w:tc>
        <w:tc>
          <w:tcPr>
            <w:tcW w:w="1831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b/>
                <w:sz w:val="24"/>
                <w:szCs w:val="24"/>
              </w:rPr>
              <w:t>Cost</w:t>
            </w:r>
          </w:p>
        </w:tc>
        <w:tc>
          <w:tcPr>
            <w:tcW w:w="2331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A96707">
              <w:rPr>
                <w:rFonts w:ascii="Times New Roman" w:hAnsi="Times New Roman" w:cs="Times New Roman"/>
                <w:b/>
                <w:sz w:val="24"/>
                <w:szCs w:val="24"/>
              </w:rPr>
              <w:t>omplaints</w:t>
            </w:r>
          </w:p>
        </w:tc>
      </w:tr>
      <w:tr w:rsidTr="00A96707">
        <w:tblPrEx>
          <w:tblW w:w="9900" w:type="dxa"/>
          <w:tblInd w:w="-162" w:type="dxa"/>
          <w:tblLook w:val="04A0"/>
        </w:tblPrEx>
        <w:trPr>
          <w:trHeight w:val="2222"/>
        </w:trPr>
        <w:tc>
          <w:tcPr>
            <w:tcW w:w="2019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Health maintenance organization</w:t>
            </w:r>
          </w:p>
        </w:tc>
        <w:tc>
          <w:tcPr>
            <w:tcW w:w="1853" w:type="dxa"/>
          </w:tcPr>
          <w:p w:rsidR="00A96707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Inpatient services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Outpatient service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EB1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Professional service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6707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 xml:space="preserve">Prescription 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of drugs service.</w:t>
            </w: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No claim form is required to see a doctor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A0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r w:rsidR="00A96707">
              <w:rPr>
                <w:rFonts w:ascii="Times New Roman" w:hAnsi="Times New Roman" w:cs="Times New Roman"/>
                <w:sz w:val="24"/>
                <w:szCs w:val="24"/>
              </w:rPr>
              <w:t xml:space="preserve">is quite effective </w:t>
            </w: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since fees are not forecasted.
</w:t>
            </w:r>
          </w:p>
          <w:p w:rsidR="00213EA0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Low out-of-pocket expense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3EA0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3EA0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Lower premium costs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31" w:type="dxa"/>
          </w:tcPr>
          <w:p w:rsidR="00131EB1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The requirement to get a referral to seek specialized care.
</w:t>
            </w:r>
          </w:p>
          <w:p w:rsidR="00A96707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A0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Co-payment fees for any non-preventive medical visit.</w:t>
            </w:r>
          </w:p>
          <w:p w:rsidR="00A96707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A0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Less freedom to choose healthcare</w:t>
            </w:r>
            <w:r w:rsidR="00A9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providers</w:t>
            </w:r>
            <w:r w:rsidR="00A967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Tr="00A96707">
        <w:tblPrEx>
          <w:tblW w:w="9900" w:type="dxa"/>
          <w:tblInd w:w="-162" w:type="dxa"/>
          <w:tblLook w:val="04A0"/>
        </w:tblPrEx>
        <w:trPr>
          <w:trHeight w:val="2951"/>
        </w:trPr>
        <w:tc>
          <w:tcPr>
            <w:tcW w:w="2019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Preferred provider organization</w:t>
            </w:r>
          </w:p>
        </w:tc>
        <w:tc>
          <w:tcPr>
            <w:tcW w:w="1853" w:type="dxa"/>
          </w:tcPr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Inpatient service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Outpatient service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Professional service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EB1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Prescription drugs service</w:t>
            </w:r>
            <w:r w:rsidRPr="00A96707" w:rsidR="00050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6" w:type="dxa"/>
          </w:tcPr>
          <w:p w:rsidR="00131EB1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Freedom to choose healthcare providers.</w:t>
            </w:r>
          </w:p>
          <w:p w:rsidR="00A96707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EA0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Ease in seeing a specialist without a referral.
</w:t>
            </w:r>
          </w:p>
          <w:p w:rsidR="00213EA0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:rsidR="000505C4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Expensive co-payment than regular.</w:t>
            </w:r>
          </w:p>
          <w:p w:rsidR="000505C4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0505C4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Higher payment for seeking out-of-network specialists.
</w:t>
            </w:r>
          </w:p>
          <w:p w:rsidR="00A96707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5C4" w:rsidRPr="00A96707" w:rsidP="00A9670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707">
              <w:rPr>
                <w:rFonts w:ascii="Times New Roman" w:hAnsi="Times New Roman" w:cs="Times New Roman"/>
                <w:sz w:val="24"/>
                <w:szCs w:val="24"/>
              </w:rPr>
              <w:t>More paperwork for out-of-network specialists.
</w:t>
            </w:r>
          </w:p>
        </w:tc>
      </w:tr>
    </w:tbl>
    <w:p w:rsidR="00131EB1" w:rsidRPr="00A96707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05C4" w:rsidRPr="00A96707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05C4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6707">
        <w:rPr>
          <w:rFonts w:ascii="Times New Roman" w:hAnsi="Times New Roman" w:cs="Times New Roman"/>
          <w:sz w:val="24"/>
          <w:szCs w:val="24"/>
        </w:rPr>
        <w:t>My mother's friend suffers from diabetes. She presents unpredictable conditions, and sometimes it becomes hard to detect when her sugar level falls or when it rises. I would recommend HMO as an appropriate plan for when an emergency happens, even in the middle of the night, for less paperwork required. It is also has a low premium cost, which would be convenient considering the high cost of drugs for this condition if she were to go for a fee-for-service plan. Generally, HMO has a low out-of-pocket expense.
</w:t>
      </w:r>
    </w:p>
    <w:p w:rsidR="00A96707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6707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6707" w:rsidRPr="00A96707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05C4" w:rsidRPr="00A96707" w:rsidP="00A967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3064" w:rsidP="00FE30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707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E3064" w:rsidP="00FE306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E3064">
        <w:rPr>
          <w:rFonts w:ascii="Times New Roman" w:hAnsi="Times New Roman" w:cs="Times New Roman"/>
          <w:sz w:val="24"/>
          <w:szCs w:val="24"/>
        </w:rPr>
        <w:t>Bhargava</w:t>
      </w:r>
      <w:r w:rsidRPr="00FE3064">
        <w:rPr>
          <w:rFonts w:ascii="Times New Roman" w:hAnsi="Times New Roman" w:cs="Times New Roman"/>
          <w:sz w:val="24"/>
          <w:szCs w:val="24"/>
        </w:rPr>
        <w:t xml:space="preserve">, S., </w:t>
      </w:r>
      <w:r w:rsidRPr="00FE3064">
        <w:rPr>
          <w:rFonts w:ascii="Times New Roman" w:hAnsi="Times New Roman" w:cs="Times New Roman"/>
          <w:sz w:val="24"/>
          <w:szCs w:val="24"/>
        </w:rPr>
        <w:t>Loewenstein</w:t>
      </w:r>
      <w:r w:rsidRPr="00FE3064">
        <w:rPr>
          <w:rFonts w:ascii="Times New Roman" w:hAnsi="Times New Roman" w:cs="Times New Roman"/>
          <w:sz w:val="24"/>
          <w:szCs w:val="24"/>
        </w:rPr>
        <w:t xml:space="preserve">, G., &amp; </w:t>
      </w:r>
      <w:r w:rsidRPr="00FE3064">
        <w:rPr>
          <w:rFonts w:ascii="Times New Roman" w:hAnsi="Times New Roman" w:cs="Times New Roman"/>
          <w:sz w:val="24"/>
          <w:szCs w:val="24"/>
        </w:rPr>
        <w:t>Sydnor</w:t>
      </w:r>
      <w:r w:rsidRPr="00FE3064">
        <w:rPr>
          <w:rFonts w:ascii="Times New Roman" w:hAnsi="Times New Roman" w:cs="Times New Roman"/>
          <w:sz w:val="24"/>
          <w:szCs w:val="24"/>
        </w:rPr>
        <w:t>, J. (2017).</w:t>
      </w:r>
      <w:r w:rsidRPr="00FE3064">
        <w:rPr>
          <w:rFonts w:ascii="Times New Roman" w:hAnsi="Times New Roman" w:cs="Times New Roman"/>
          <w:sz w:val="24"/>
          <w:szCs w:val="24"/>
        </w:rPr>
        <w:t xml:space="preserve"> Choose to lose: Health plans choices from a menu with a dominant option. The Quarterly Journal of Economics, 132(3), 1319-1372.
</w:t>
      </w:r>
    </w:p>
    <w:p w:rsidR="00FE3064" w:rsidRPr="00FE3064" w:rsidP="00FE306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E3064">
        <w:rPr>
          <w:rFonts w:ascii="Times New Roman" w:hAnsi="Times New Roman" w:cs="Times New Roman"/>
          <w:sz w:val="24"/>
          <w:szCs w:val="24"/>
        </w:rPr>
        <w:t>Bardey</w:t>
      </w:r>
      <w:r w:rsidRPr="00FE3064">
        <w:rPr>
          <w:rFonts w:ascii="Times New Roman" w:hAnsi="Times New Roman" w:cs="Times New Roman"/>
          <w:sz w:val="24"/>
          <w:szCs w:val="24"/>
        </w:rPr>
        <w:t xml:space="preserve">, D., &amp; </w:t>
      </w:r>
      <w:r w:rsidRPr="00FE3064">
        <w:rPr>
          <w:rFonts w:ascii="Times New Roman" w:hAnsi="Times New Roman" w:cs="Times New Roman"/>
          <w:sz w:val="24"/>
          <w:szCs w:val="24"/>
        </w:rPr>
        <w:t>Rochet</w:t>
      </w:r>
      <w:r w:rsidRPr="00FE3064">
        <w:rPr>
          <w:rFonts w:ascii="Times New Roman" w:hAnsi="Times New Roman" w:cs="Times New Roman"/>
          <w:sz w:val="24"/>
          <w:szCs w:val="24"/>
        </w:rPr>
        <w:t>, J. C. (2009).</w:t>
      </w:r>
      <w:r w:rsidRPr="00FE3064">
        <w:rPr>
          <w:rFonts w:ascii="Times New Roman" w:hAnsi="Times New Roman" w:cs="Times New Roman"/>
          <w:sz w:val="24"/>
          <w:szCs w:val="24"/>
        </w:rPr>
        <w:t xml:space="preserve"> Competition between HMO and PPO: A two-sided market approach. </w:t>
      </w:r>
      <w:r w:rsidRPr="00FE3064">
        <w:rPr>
          <w:rFonts w:ascii="Times New Roman" w:hAnsi="Times New Roman" w:cs="Times New Roman"/>
          <w:sz w:val="24"/>
          <w:szCs w:val="24"/>
        </w:rPr>
        <w:t>Facultad</w:t>
      </w:r>
      <w:r w:rsidRPr="00FE3064">
        <w:rPr>
          <w:rFonts w:ascii="Times New Roman" w:hAnsi="Times New Roman" w:cs="Times New Roman"/>
          <w:sz w:val="24"/>
          <w:szCs w:val="24"/>
        </w:rPr>
        <w:t xml:space="preserve"> </w:t>
      </w:r>
      <w:r w:rsidRPr="00FE3064">
        <w:rPr>
          <w:rFonts w:ascii="Times New Roman" w:hAnsi="Times New Roman" w:cs="Times New Roman"/>
          <w:sz w:val="24"/>
          <w:szCs w:val="24"/>
        </w:rPr>
        <w:t>Economia</w:t>
      </w:r>
      <w:r w:rsidRPr="00FE3064">
        <w:rPr>
          <w:rFonts w:ascii="Times New Roman" w:hAnsi="Times New Roman" w:cs="Times New Roman"/>
          <w:sz w:val="24"/>
          <w:szCs w:val="24"/>
        </w:rPr>
        <w:t xml:space="preserve">, Universidad </w:t>
      </w:r>
      <w:r w:rsidRPr="00FE3064">
        <w:rPr>
          <w:rFonts w:ascii="Times New Roman" w:hAnsi="Times New Roman" w:cs="Times New Roman"/>
          <w:sz w:val="24"/>
          <w:szCs w:val="24"/>
        </w:rPr>
        <w:t>del</w:t>
      </w:r>
      <w:r w:rsidRPr="00FE3064">
        <w:rPr>
          <w:rFonts w:ascii="Times New Roman" w:hAnsi="Times New Roman" w:cs="Times New Roman"/>
          <w:sz w:val="24"/>
          <w:szCs w:val="24"/>
        </w:rPr>
        <w:t xml:space="preserve"> Rosario, (56).</w:t>
      </w:r>
    </w:p>
    <w:p w:rsidR="00FE3064" w:rsidRPr="00FE3064" w:rsidP="00FE306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A96707" w:rsidRPr="00A96707" w:rsidP="00A96707">
      <w:pPr>
        <w:jc w:val="center"/>
        <w:rPr>
          <w:b/>
        </w:rPr>
      </w:pPr>
    </w:p>
    <w:p w:rsidR="00A96707"/>
    <w:p w:rsidR="000505C4"/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648558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306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E3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195"/>
    <w:rsid w:val="0001244D"/>
    <w:rsid w:val="000505C4"/>
    <w:rsid w:val="00131EB1"/>
    <w:rsid w:val="00213EA0"/>
    <w:rsid w:val="003D5195"/>
    <w:rsid w:val="006B230E"/>
    <w:rsid w:val="009F0F5A"/>
    <w:rsid w:val="00A36113"/>
    <w:rsid w:val="00A96707"/>
    <w:rsid w:val="00B6560D"/>
    <w:rsid w:val="00C12ED1"/>
    <w:rsid w:val="00C15F69"/>
    <w:rsid w:val="00DF7B23"/>
    <w:rsid w:val="00FE306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1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E3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064"/>
  </w:style>
  <w:style w:type="paragraph" w:styleId="Footer">
    <w:name w:val="footer"/>
    <w:basedOn w:val="Normal"/>
    <w:link w:val="FooterChar"/>
    <w:uiPriority w:val="99"/>
    <w:unhideWhenUsed/>
    <w:rsid w:val="00FE3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2020-11-19T10:58:00Z</dcterms:created>
  <dcterms:modified xsi:type="dcterms:W3CDTF">2020-11-19T16:24:00Z</dcterms:modified>
</cp:coreProperties>
</file>